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85E09" w:rsidRDefault="00185E09" w:rsidP="004C1E41">
      <w:pPr>
        <w:spacing w:line="480" w:lineRule="auto"/>
        <w:jc w:val="both"/>
      </w:pPr>
      <w:bookmarkStart w:id="0" w:name="_GoBack"/>
      <w:bookmarkEnd w:id="0"/>
      <w:r>
        <w:t>Name</w:t>
      </w:r>
    </w:p>
    <w:p w:rsidR="00185E09" w:rsidRDefault="00185E09" w:rsidP="004C1E41">
      <w:pPr>
        <w:spacing w:line="480" w:lineRule="auto"/>
        <w:jc w:val="both"/>
      </w:pPr>
      <w:r>
        <w:t>Tutor</w:t>
      </w:r>
    </w:p>
    <w:p w:rsidR="00185E09" w:rsidRDefault="00185E09" w:rsidP="004C1E41">
      <w:pPr>
        <w:spacing w:line="480" w:lineRule="auto"/>
        <w:jc w:val="both"/>
      </w:pPr>
      <w:r>
        <w:t>Course</w:t>
      </w:r>
    </w:p>
    <w:p w:rsidR="00185E09" w:rsidRDefault="00185E09" w:rsidP="004C1E41">
      <w:pPr>
        <w:spacing w:line="480" w:lineRule="auto"/>
        <w:jc w:val="both"/>
      </w:pPr>
      <w:r>
        <w:t>Date</w:t>
      </w:r>
    </w:p>
    <w:p w:rsidR="004C1E41" w:rsidRDefault="00185E09" w:rsidP="00185E09">
      <w:pPr>
        <w:spacing w:line="480" w:lineRule="auto"/>
        <w:jc w:val="center"/>
      </w:pPr>
      <w:r>
        <w:t>Precis Writing.</w:t>
      </w:r>
    </w:p>
    <w:p w:rsidR="00DF7FD8" w:rsidRDefault="00DF7FD8" w:rsidP="00DF7FD8">
      <w:pPr>
        <w:spacing w:line="480" w:lineRule="auto"/>
        <w:ind w:firstLine="720"/>
      </w:pPr>
      <w:r>
        <w:t xml:space="preserve">In his article, Grave Beliefs: The Story of the Supernatural and the Uncanny among Canada's Great War Trench Soldiers, Tim Cook explains Canadian soldiers' superstitions as well as how they related with death. Cooks explained the superstitions by recounting on historical events that happened during World War I. </w:t>
      </w:r>
    </w:p>
    <w:p w:rsidR="00DF7FD8" w:rsidRDefault="00DF7FD8" w:rsidP="00DF7FD8">
      <w:pPr>
        <w:spacing w:line="480" w:lineRule="auto"/>
        <w:ind w:firstLine="720"/>
      </w:pPr>
      <w:r>
        <w:t xml:space="preserve">Cook explained that in World War I, soldiers battled in trenches. The fight involved machine gun fire, gassing, motor bombardment and frequent invasions by enemy troops. Also, the trenches were subject to numerous invasions by pathogen outbreaks and pests such as lice and rats. Cook discusses how soldiers became the casualties of the enemy troops and pest incursions. He asserted, "Approximately half of all the Canadians soldiers in the battle became casualties, by it wounded in action, grievously disfigured, or outright killed" (Cook 3). Cook's assertion hints that the soldiers trudged on the reams of deaths and few of them survived. In fact, Cook affirmed that the consistent engagement in World War I battle inspired the Canadian soldiers to continue the fight; they never gave up. </w:t>
      </w:r>
    </w:p>
    <w:p w:rsidR="00DF7FD8" w:rsidRDefault="00DF7FD8" w:rsidP="00DF7FD8">
      <w:pPr>
        <w:spacing w:line="480" w:lineRule="auto"/>
        <w:ind w:firstLine="720"/>
        <w:jc w:val="center"/>
      </w:pPr>
      <w:r>
        <w:t xml:space="preserve">Cooks explains why the Canadian troop preferred to fight in trenches. He argued that the robust firepower from the enemies during the First World War era would not allow them to exist on grounds. On the contrary, Cooks said that the soldiers had a belief that digging a trench was </w:t>
      </w:r>
      <w:r>
        <w:lastRenderedPageBreak/>
        <w:t xml:space="preserve">like digging your own grave. As cook refers it, this belief developed a sought of ‘a fatalistic outlook of life'(Cook 5). The soldiers had that belief that their ultimate fate was death. Cook explained how soldiers in the trenches joked, "The bells of hell ring for you, not me". However, Cook noted that the grave beliefs kept the soldiers fighting and immensely helped them in to make meaning of the battle since they already were convinced that they were participants of hell. </w:t>
      </w:r>
    </w:p>
    <w:p w:rsidR="00DF7FD8" w:rsidRDefault="00DF7FD8" w:rsidP="00DF7FD8">
      <w:pPr>
        <w:spacing w:line="480" w:lineRule="auto"/>
        <w:ind w:firstLine="720"/>
        <w:jc w:val="center"/>
      </w:pPr>
    </w:p>
    <w:p w:rsidR="00DF7FD8" w:rsidRDefault="00DF7FD8" w:rsidP="00DF7FD8">
      <w:pPr>
        <w:spacing w:line="480" w:lineRule="auto"/>
        <w:ind w:firstLine="720"/>
        <w:jc w:val="center"/>
      </w:pPr>
    </w:p>
    <w:p w:rsidR="00DF7FD8" w:rsidRDefault="00DF7FD8" w:rsidP="00DF7FD8">
      <w:pPr>
        <w:spacing w:line="480" w:lineRule="auto"/>
        <w:ind w:firstLine="720"/>
        <w:jc w:val="center"/>
      </w:pPr>
    </w:p>
    <w:p w:rsidR="00DF7FD8" w:rsidRDefault="00DF7FD8" w:rsidP="00DF7FD8">
      <w:pPr>
        <w:spacing w:line="480" w:lineRule="auto"/>
        <w:ind w:firstLine="720"/>
        <w:jc w:val="center"/>
      </w:pPr>
    </w:p>
    <w:p w:rsidR="00DF7FD8" w:rsidRDefault="00DF7FD8" w:rsidP="00DF7FD8">
      <w:pPr>
        <w:spacing w:line="480" w:lineRule="auto"/>
        <w:ind w:firstLine="720"/>
        <w:jc w:val="center"/>
      </w:pPr>
    </w:p>
    <w:p w:rsidR="00DF7FD8" w:rsidRDefault="00DF7FD8" w:rsidP="00DF7FD8">
      <w:pPr>
        <w:spacing w:line="480" w:lineRule="auto"/>
        <w:ind w:firstLine="720"/>
        <w:jc w:val="center"/>
      </w:pPr>
    </w:p>
    <w:p w:rsidR="00DF7FD8" w:rsidRDefault="00DF7FD8" w:rsidP="00DF7FD8">
      <w:pPr>
        <w:spacing w:line="480" w:lineRule="auto"/>
        <w:ind w:firstLine="720"/>
        <w:jc w:val="center"/>
      </w:pPr>
    </w:p>
    <w:p w:rsidR="00DF7FD8" w:rsidRDefault="00DF7FD8" w:rsidP="00DF7FD8">
      <w:pPr>
        <w:spacing w:line="480" w:lineRule="auto"/>
        <w:ind w:firstLine="720"/>
        <w:jc w:val="center"/>
      </w:pPr>
    </w:p>
    <w:p w:rsidR="00DF7FD8" w:rsidRDefault="00DF7FD8" w:rsidP="00DF7FD8">
      <w:pPr>
        <w:spacing w:line="480" w:lineRule="auto"/>
        <w:ind w:firstLine="720"/>
        <w:jc w:val="center"/>
      </w:pPr>
    </w:p>
    <w:p w:rsidR="00DF7FD8" w:rsidRDefault="00DF7FD8" w:rsidP="00DF7FD8">
      <w:pPr>
        <w:spacing w:line="480" w:lineRule="auto"/>
        <w:ind w:firstLine="720"/>
        <w:jc w:val="center"/>
      </w:pPr>
    </w:p>
    <w:p w:rsidR="00DF7FD8" w:rsidRDefault="00DF7FD8" w:rsidP="00DF7FD8">
      <w:pPr>
        <w:spacing w:line="480" w:lineRule="auto"/>
        <w:ind w:firstLine="720"/>
        <w:jc w:val="center"/>
      </w:pPr>
    </w:p>
    <w:p w:rsidR="00DF7FD8" w:rsidRDefault="00DF7FD8" w:rsidP="00DF7FD8">
      <w:pPr>
        <w:spacing w:line="480" w:lineRule="auto"/>
        <w:ind w:firstLine="720"/>
        <w:jc w:val="center"/>
      </w:pPr>
    </w:p>
    <w:p w:rsidR="00DF7FD8" w:rsidRDefault="00DF7FD8" w:rsidP="00DF7FD8">
      <w:pPr>
        <w:spacing w:line="480" w:lineRule="auto"/>
        <w:ind w:firstLine="720"/>
        <w:jc w:val="center"/>
      </w:pPr>
    </w:p>
    <w:p w:rsidR="004C1E41" w:rsidRDefault="004C1E41" w:rsidP="00DF7FD8">
      <w:pPr>
        <w:spacing w:line="480" w:lineRule="auto"/>
        <w:ind w:firstLine="720"/>
        <w:jc w:val="center"/>
      </w:pPr>
      <w:r>
        <w:lastRenderedPageBreak/>
        <w:t>Reference</w:t>
      </w:r>
    </w:p>
    <w:p w:rsidR="004C1E41" w:rsidRDefault="003727C5" w:rsidP="00185E09">
      <w:pPr>
        <w:pStyle w:val="Bibliography"/>
        <w:spacing w:line="480" w:lineRule="auto"/>
        <w:ind w:left="720" w:hanging="720"/>
        <w:jc w:val="both"/>
        <w:rPr>
          <w:noProof/>
        </w:rPr>
      </w:pPr>
      <w:r>
        <w:fldChar w:fldCharType="begin"/>
      </w:r>
      <w:r w:rsidR="004C1E41">
        <w:instrText xml:space="preserve"> BIBLIOGRAPHY  \l 1033 </w:instrText>
      </w:r>
      <w:r>
        <w:fldChar w:fldCharType="separate"/>
      </w:r>
      <w:r w:rsidR="00185E09">
        <w:t xml:space="preserve">Cook, Tim. "Grave Beliefs: Stories of the Supernatural and the Uncanny among Canada's Great War Trench Soldiers." </w:t>
      </w:r>
      <w:r w:rsidR="00185E09">
        <w:rPr>
          <w:i/>
          <w:iCs/>
        </w:rPr>
        <w:t>Journal of Military History</w:t>
      </w:r>
      <w:r w:rsidR="00185E09">
        <w:t xml:space="preserve"> 77.2 (2013).</w:t>
      </w:r>
    </w:p>
    <w:p w:rsidR="004C1E41" w:rsidRDefault="003727C5" w:rsidP="00185E09">
      <w:pPr>
        <w:spacing w:line="480" w:lineRule="auto"/>
        <w:ind w:left="720" w:hanging="720"/>
        <w:jc w:val="both"/>
      </w:pPr>
      <w:r>
        <w:fldChar w:fldCharType="end"/>
      </w:r>
    </w:p>
    <w:sectPr w:rsidR="004C1E41" w:rsidSect="00BC71B8">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45435" w:rsidRDefault="00945435" w:rsidP="00DF7FD8">
      <w:pPr>
        <w:spacing w:after="0" w:line="240" w:lineRule="auto"/>
      </w:pPr>
      <w:r>
        <w:separator/>
      </w:r>
    </w:p>
  </w:endnote>
  <w:endnote w:type="continuationSeparator" w:id="0">
    <w:p w:rsidR="00945435" w:rsidRDefault="00945435" w:rsidP="00DF7F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45435" w:rsidRDefault="00945435" w:rsidP="00DF7FD8">
      <w:pPr>
        <w:spacing w:after="0" w:line="240" w:lineRule="auto"/>
      </w:pPr>
      <w:r>
        <w:separator/>
      </w:r>
    </w:p>
  </w:footnote>
  <w:footnote w:type="continuationSeparator" w:id="0">
    <w:p w:rsidR="00945435" w:rsidRDefault="00945435" w:rsidP="00DF7FD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F7FD8" w:rsidRDefault="00DF7FD8">
    <w:pPr>
      <w:pStyle w:val="Header"/>
    </w:pPr>
    <w:r>
      <w:t xml:space="preserve">                                                                                                                                         Surname </w:t>
    </w:r>
    <w:r w:rsidR="00945435">
      <w:fldChar w:fldCharType="begin"/>
    </w:r>
    <w:r w:rsidR="00945435">
      <w:instrText xml:space="preserve"> PAGE   \* ME</w:instrText>
    </w:r>
    <w:r w:rsidR="00945435">
      <w:instrText xml:space="preserve">RGEFORMAT </w:instrText>
    </w:r>
    <w:r w:rsidR="00945435">
      <w:fldChar w:fldCharType="separate"/>
    </w:r>
    <w:r w:rsidR="002B51EF">
      <w:rPr>
        <w:noProof/>
      </w:rPr>
      <w:t>1</w:t>
    </w:r>
    <w:r w:rsidR="00945435">
      <w:rPr>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5CCA"/>
    <w:rsid w:val="00185E09"/>
    <w:rsid w:val="002B51EF"/>
    <w:rsid w:val="003727C5"/>
    <w:rsid w:val="003C6B7C"/>
    <w:rsid w:val="004C1E41"/>
    <w:rsid w:val="00595F04"/>
    <w:rsid w:val="009405D3"/>
    <w:rsid w:val="00945435"/>
    <w:rsid w:val="00A40BEB"/>
    <w:rsid w:val="00BC71B8"/>
    <w:rsid w:val="00C55B78"/>
    <w:rsid w:val="00CF5DAE"/>
    <w:rsid w:val="00D65CCA"/>
    <w:rsid w:val="00DD4FBF"/>
    <w:rsid w:val="00DF7F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0556D6A-0D39-42FF-9020-FCAC6E802D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C71B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95F0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95F04"/>
    <w:rPr>
      <w:rFonts w:ascii="Tahoma" w:hAnsi="Tahoma" w:cs="Tahoma"/>
      <w:sz w:val="16"/>
      <w:szCs w:val="16"/>
    </w:rPr>
  </w:style>
  <w:style w:type="paragraph" w:styleId="Bibliography">
    <w:name w:val="Bibliography"/>
    <w:basedOn w:val="Normal"/>
    <w:next w:val="Normal"/>
    <w:uiPriority w:val="37"/>
    <w:unhideWhenUsed/>
    <w:rsid w:val="004C1E41"/>
  </w:style>
  <w:style w:type="paragraph" w:styleId="Header">
    <w:name w:val="header"/>
    <w:basedOn w:val="Normal"/>
    <w:link w:val="HeaderChar"/>
    <w:uiPriority w:val="99"/>
    <w:semiHidden/>
    <w:unhideWhenUsed/>
    <w:rsid w:val="00DF7FD8"/>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DF7FD8"/>
  </w:style>
  <w:style w:type="paragraph" w:styleId="Footer">
    <w:name w:val="footer"/>
    <w:basedOn w:val="Normal"/>
    <w:link w:val="FooterChar"/>
    <w:uiPriority w:val="99"/>
    <w:semiHidden/>
    <w:unhideWhenUsed/>
    <w:rsid w:val="00DF7FD8"/>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DF7F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b:Source>
    <b:Tag>Coo13</b:Tag>
    <b:SourceType>JournalArticle</b:SourceType>
    <b:Guid>{DCF3AD38-7B29-4E7E-8778-4C6D869DE518}</b:Guid>
    <b:Author>
      <b:Author>
        <b:NameList>
          <b:Person>
            <b:Last>Cook</b:Last>
            <b:First>T.</b:First>
          </b:Person>
        </b:NameList>
      </b:Author>
    </b:Author>
    <b:Title>Grave Beliefs: The Story of the Supernatural and tyhe Uncanny among Canada's Great War Trench Soldiers</b:Title>
    <b:JournalName>The Journal of Millitary History</b:JournalName>
    <b:Year>2013</b:Year>
    <b:Pages>521-542</b:Pages>
    <b:RefOrder>1</b:RefOrder>
  </b:Source>
</b:Sources>
</file>

<file path=customXml/itemProps1.xml><?xml version="1.0" encoding="utf-8"?>
<ds:datastoreItem xmlns:ds="http://schemas.openxmlformats.org/officeDocument/2006/customXml" ds:itemID="{6B650F09-423A-493A-BF06-5397E867E5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315</Words>
  <Characters>1798</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Jk waweru</dc:creator>
  <cp:lastModifiedBy>ADMIN</cp:lastModifiedBy>
  <cp:revision>2</cp:revision>
  <dcterms:created xsi:type="dcterms:W3CDTF">2019-10-11T11:51:00Z</dcterms:created>
  <dcterms:modified xsi:type="dcterms:W3CDTF">2019-10-11T11:51:00Z</dcterms:modified>
</cp:coreProperties>
</file>